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8D1FE4F"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AE592F">
        <w:rPr>
          <w:rFonts w:ascii="Times New Roman" w:hAnsi="Times New Roman" w:cs="Times New Roman"/>
          <w:sz w:val="24"/>
          <w:szCs w:val="24"/>
        </w:rPr>
        <w:t>.2768</w:t>
      </w:r>
      <w:r w:rsidRPr="00CD01B9">
        <w:rPr>
          <w:rFonts w:ascii="Times New Roman" w:hAnsi="Times New Roman" w:cs="Times New Roman"/>
          <w:sz w:val="24"/>
          <w:szCs w:val="24"/>
        </w:rPr>
        <w:t xml:space="preserve"> „</w:t>
      </w:r>
      <w:bookmarkStart w:id="0" w:name="_Hlk126668949"/>
      <w:r w:rsidR="006A5762" w:rsidRPr="006A5762">
        <w:rPr>
          <w:rFonts w:ascii="Times New Roman" w:hAnsi="Times New Roman" w:cs="Times New Roman"/>
          <w:bCs/>
          <w:i/>
          <w:sz w:val="24"/>
          <w:szCs w:val="24"/>
        </w:rPr>
        <w:t>Jämeda-Katla tee</w:t>
      </w:r>
      <w:r w:rsidR="00611486" w:rsidRPr="00611486">
        <w:rPr>
          <w:rFonts w:ascii="Times New Roman" w:hAnsi="Times New Roman" w:cs="Times New Roman"/>
          <w:bCs/>
          <w:i/>
          <w:sz w:val="24"/>
          <w:szCs w:val="24"/>
        </w:rPr>
        <w:t xml:space="preserve"> rekonstrueerimine</w:t>
      </w:r>
      <w:bookmarkEnd w:id="0"/>
      <w:r w:rsidRPr="00CD01B9">
        <w:rPr>
          <w:rFonts w:ascii="Times New Roman" w:hAnsi="Times New Roman" w:cs="Times New Roman"/>
          <w:sz w:val="24"/>
          <w:szCs w:val="24"/>
        </w:rPr>
        <w:t xml:space="preserve">“ (viitenumber </w:t>
      </w:r>
      <w:r w:rsidR="00AE592F">
        <w:rPr>
          <w:rFonts w:ascii="Times New Roman" w:hAnsi="Times New Roman" w:cs="Times New Roman"/>
          <w:sz w:val="24"/>
          <w:szCs w:val="24"/>
        </w:rPr>
        <w:t>261474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6DBF604" w:rsidR="00720E3E" w:rsidRPr="00281267" w:rsidRDefault="001706C2"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Hetver</w:t>
      </w:r>
      <w:proofErr w:type="spellEnd"/>
      <w:r>
        <w:rPr>
          <w:rFonts w:ascii="Times New Roman" w:hAnsi="Times New Roman" w:cs="Times New Roman"/>
          <w:sz w:val="24"/>
          <w:szCs w:val="24"/>
        </w:rPr>
        <w:t xml:space="preserve"> OÜ</w:t>
      </w:r>
      <w:r w:rsidRPr="007D478A">
        <w:rPr>
          <w:rFonts w:ascii="Times New Roman" w:hAnsi="Times New Roman" w:cs="Times New Roman"/>
          <w:sz w:val="24"/>
          <w:szCs w:val="24"/>
        </w:rPr>
        <w:t xml:space="preserve"> poolt koostatud</w:t>
      </w:r>
      <w:r w:rsidR="00572E63">
        <w:rPr>
          <w:rFonts w:ascii="Times New Roman" w:hAnsi="Times New Roman" w:cs="Times New Roman"/>
          <w:sz w:val="24"/>
          <w:szCs w:val="24"/>
        </w:rPr>
        <w:t xml:space="preserve"> „</w:t>
      </w:r>
      <w:r w:rsidR="00054443" w:rsidRPr="00054443">
        <w:rPr>
          <w:rFonts w:ascii="Times New Roman" w:hAnsi="Times New Roman" w:cs="Times New Roman"/>
          <w:sz w:val="24"/>
          <w:szCs w:val="24"/>
        </w:rPr>
        <w:t>Jämeda-Katla tee rekonstrueerimine</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5076DB3"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076FBB">
        <w:rPr>
          <w:rFonts w:ascii="Times New Roman" w:hAnsi="Times New Roman" w:cs="Times New Roman"/>
          <w:sz w:val="24"/>
          <w:szCs w:val="24"/>
        </w:rPr>
        <w:t>Rapla</w:t>
      </w:r>
      <w:r w:rsidR="00240C3D" w:rsidRPr="007D478A">
        <w:rPr>
          <w:rFonts w:ascii="Times New Roman" w:hAnsi="Times New Roman" w:cs="Times New Roman"/>
          <w:sz w:val="24"/>
          <w:szCs w:val="24"/>
        </w:rPr>
        <w:t xml:space="preserve"> maakonna </w:t>
      </w:r>
      <w:r w:rsidR="00865F91" w:rsidRPr="00865F91">
        <w:rPr>
          <w:rFonts w:ascii="Times New Roman" w:hAnsi="Times New Roman" w:cs="Times New Roman"/>
          <w:sz w:val="24"/>
          <w:szCs w:val="24"/>
        </w:rPr>
        <w:t>Jämeda-Katla tee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4643DB66"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proofErr w:type="spellStart"/>
      <w:r w:rsidR="001706C2">
        <w:rPr>
          <w:rFonts w:ascii="Times New Roman" w:hAnsi="Times New Roman" w:cs="Times New Roman"/>
          <w:sz w:val="24"/>
          <w:szCs w:val="24"/>
        </w:rPr>
        <w:t>Hetver</w:t>
      </w:r>
      <w:proofErr w:type="spellEnd"/>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 </w:t>
      </w:r>
      <w:r w:rsidR="00865F91" w:rsidRPr="00865F91">
        <w:rPr>
          <w:rFonts w:ascii="Times New Roman" w:hAnsi="Times New Roman" w:cs="Times New Roman"/>
          <w:sz w:val="24"/>
          <w:szCs w:val="24"/>
        </w:rPr>
        <w:t>Jämeda-Katla tee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BC7AE9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AE592F">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A7E0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 xml:space="preserve">lepinguid koos kavandatavate alltöövõtjate nimede, kontaktandmed ja teabega nende </w:t>
      </w:r>
      <w:r w:rsidR="00003744" w:rsidRPr="00EA7E09">
        <w:rPr>
          <w:rFonts w:ascii="Times New Roman" w:hAnsi="Times New Roman" w:cs="Times New Roman"/>
          <w:sz w:val="24"/>
          <w:szCs w:val="24"/>
        </w:rPr>
        <w:t>seaduslike esindajate kohta;</w:t>
      </w:r>
    </w:p>
    <w:p w14:paraId="3A9201DF" w14:textId="68590788" w:rsidR="002551B0" w:rsidRPr="00EB638E" w:rsidRDefault="008A2313" w:rsidP="009A1CB2">
      <w:pPr>
        <w:pStyle w:val="Pealkiri31"/>
        <w:tabs>
          <w:tab w:val="left" w:pos="284"/>
          <w:tab w:val="left" w:pos="426"/>
          <w:tab w:val="left" w:pos="567"/>
        </w:tabs>
        <w:spacing w:after="0" w:line="240" w:lineRule="auto"/>
        <w:ind w:left="0" w:firstLine="0"/>
        <w:jc w:val="both"/>
        <w:rPr>
          <w:rStyle w:val="normal1"/>
          <w:rFonts w:cs="Times New Roman"/>
          <w:szCs w:val="24"/>
        </w:rPr>
      </w:pPr>
      <w:r w:rsidRPr="00EB638E">
        <w:rPr>
          <w:rFonts w:ascii="Times New Roman" w:hAnsi="Times New Roman" w:cs="Times New Roman"/>
          <w:sz w:val="24"/>
          <w:szCs w:val="24"/>
        </w:rPr>
        <w:t>kinni pidama tööde teostamisel t</w:t>
      </w:r>
      <w:r w:rsidR="00705773" w:rsidRPr="00EB638E">
        <w:rPr>
          <w:rFonts w:ascii="Times New Roman" w:hAnsi="Times New Roman" w:cs="Times New Roman"/>
          <w:sz w:val="24"/>
          <w:szCs w:val="24"/>
        </w:rPr>
        <w:t>ellija poolt ke</w:t>
      </w:r>
      <w:r w:rsidR="00845209" w:rsidRPr="00EB638E">
        <w:rPr>
          <w:rFonts w:ascii="Times New Roman" w:hAnsi="Times New Roman" w:cs="Times New Roman"/>
          <w:sz w:val="24"/>
          <w:szCs w:val="24"/>
        </w:rPr>
        <w:t>htestatud keskkonnaalastest käitumisju</w:t>
      </w:r>
      <w:r w:rsidR="00705773" w:rsidRPr="00EB638E">
        <w:rPr>
          <w:rFonts w:ascii="Times New Roman" w:hAnsi="Times New Roman" w:cs="Times New Roman"/>
          <w:sz w:val="24"/>
          <w:szCs w:val="24"/>
        </w:rPr>
        <w:t xml:space="preserve">histest ja projektis esitatud </w:t>
      </w:r>
      <w:r w:rsidR="002747CE" w:rsidRPr="00EB638E">
        <w:rPr>
          <w:rFonts w:ascii="Times New Roman" w:hAnsi="Times New Roman" w:cs="Times New Roman"/>
          <w:sz w:val="24"/>
          <w:szCs w:val="24"/>
        </w:rPr>
        <w:t>ehitus</w:t>
      </w:r>
      <w:r w:rsidR="00705773" w:rsidRPr="00EB638E">
        <w:rPr>
          <w:rFonts w:ascii="Times New Roman" w:hAnsi="Times New Roman" w:cs="Times New Roman"/>
          <w:sz w:val="24"/>
          <w:szCs w:val="24"/>
        </w:rPr>
        <w:t>objekti omapära arvestavaid nõudeid</w:t>
      </w:r>
      <w:r w:rsidR="00003744" w:rsidRPr="00EB638E">
        <w:rPr>
          <w:rStyle w:val="normal1"/>
          <w:rFonts w:cs="Times New Roman"/>
          <w:szCs w:val="24"/>
        </w:rPr>
        <w:t xml:space="preserve">. </w:t>
      </w:r>
      <w:r w:rsidR="002551B0" w:rsidRPr="00EB638E">
        <w:rPr>
          <w:rStyle w:val="normal1"/>
          <w:rFonts w:cs="Times New Roman"/>
          <w:szCs w:val="24"/>
        </w:rPr>
        <w:t xml:space="preserve">Jälgima </w:t>
      </w:r>
      <w:r w:rsidR="002551B0" w:rsidRPr="00EB638E">
        <w:rPr>
          <w:rFonts w:ascii="Times New Roman" w:eastAsia="Times New Roman" w:hAnsi="Times New Roman" w:cs="Times New Roman"/>
          <w:sz w:val="24"/>
          <w:szCs w:val="24"/>
        </w:rPr>
        <w:t xml:space="preserve">ehitusprojektis peatükk </w:t>
      </w:r>
      <w:r w:rsidR="00EA7E09" w:rsidRPr="00EB638E">
        <w:rPr>
          <w:rFonts w:ascii="Times New Roman" w:eastAsia="Times New Roman" w:hAnsi="Times New Roman" w:cs="Times New Roman"/>
          <w:sz w:val="24"/>
          <w:szCs w:val="24"/>
        </w:rPr>
        <w:t>3.11. Keskkonnakaitse (lk 3</w:t>
      </w:r>
      <w:r w:rsidR="00172ABE" w:rsidRPr="00EB638E">
        <w:rPr>
          <w:rFonts w:ascii="Times New Roman" w:eastAsia="Times New Roman" w:hAnsi="Times New Roman" w:cs="Times New Roman"/>
          <w:sz w:val="24"/>
          <w:szCs w:val="24"/>
        </w:rPr>
        <w:t>8</w:t>
      </w:r>
      <w:r w:rsidR="00EA7E09" w:rsidRPr="00EB638E">
        <w:rPr>
          <w:rFonts w:ascii="Times New Roman" w:eastAsia="Times New Roman" w:hAnsi="Times New Roman" w:cs="Times New Roman"/>
          <w:sz w:val="24"/>
          <w:szCs w:val="24"/>
        </w:rPr>
        <w:t>-39)</w:t>
      </w:r>
      <w:r w:rsidR="002734CB" w:rsidRPr="00EB638E">
        <w:rPr>
          <w:rFonts w:ascii="Times New Roman" w:eastAsia="Times New Roman" w:hAnsi="Times New Roman" w:cs="Times New Roman"/>
          <w:sz w:val="24"/>
          <w:szCs w:val="24"/>
        </w:rPr>
        <w:t xml:space="preserve"> </w:t>
      </w:r>
      <w:r w:rsidR="002551B0" w:rsidRPr="00EB638E">
        <w:rPr>
          <w:rFonts w:ascii="Times New Roman" w:eastAsia="Times New Roman" w:hAnsi="Times New Roman" w:cs="Times New Roman"/>
          <w:sz w:val="24"/>
          <w:szCs w:val="24"/>
        </w:rPr>
        <w:t>ning</w:t>
      </w:r>
      <w:r w:rsidR="002551B0" w:rsidRPr="00EB638E">
        <w:rPr>
          <w:rStyle w:val="normal1"/>
          <w:rFonts w:cs="Times New Roman"/>
          <w:szCs w:val="24"/>
        </w:rPr>
        <w:t xml:space="preserve"> tellija poolt koostatud keskkonnaanalüüsis toodut.</w:t>
      </w:r>
    </w:p>
    <w:p w14:paraId="55CAEB49" w14:textId="4EE7C411" w:rsidR="002551B0" w:rsidRPr="00EB638E" w:rsidRDefault="00A509D7" w:rsidP="009A1CB2">
      <w:pPr>
        <w:pStyle w:val="Loendilik"/>
        <w:tabs>
          <w:tab w:val="left" w:pos="284"/>
          <w:tab w:val="left" w:pos="426"/>
          <w:tab w:val="left" w:pos="567"/>
        </w:tabs>
        <w:spacing w:after="0" w:line="240" w:lineRule="auto"/>
        <w:ind w:left="0"/>
        <w:jc w:val="both"/>
        <w:rPr>
          <w:rFonts w:ascii="Times New Roman" w:hAnsi="Times New Roman" w:cs="Times New Roman"/>
          <w:i/>
          <w:sz w:val="24"/>
          <w:szCs w:val="24"/>
        </w:rPr>
      </w:pPr>
      <w:r w:rsidRPr="00EB638E">
        <w:rPr>
          <w:rStyle w:val="normal1"/>
          <w:rFonts w:cs="Times New Roman"/>
          <w:i/>
          <w:iCs/>
          <w:szCs w:val="24"/>
        </w:rPr>
        <w:t>Keskkonna</w:t>
      </w:r>
      <w:r w:rsidR="00EB638E" w:rsidRPr="00EB638E">
        <w:rPr>
          <w:rStyle w:val="normal1"/>
          <w:rFonts w:cs="Times New Roman"/>
          <w:i/>
          <w:iCs/>
          <w:szCs w:val="24"/>
        </w:rPr>
        <w:t>kaitselised eritingimused ja ajalised piirangud puuduvad</w:t>
      </w:r>
      <w:r w:rsidR="002551B0" w:rsidRPr="00EB638E">
        <w:rPr>
          <w:rFonts w:ascii="Times New Roman" w:hAnsi="Times New Roman" w:cs="Times New Roman"/>
          <w:i/>
          <w:sz w:val="24"/>
          <w:szCs w:val="24"/>
        </w:rPr>
        <w:t xml:space="preserve">. </w:t>
      </w:r>
    </w:p>
    <w:p w14:paraId="77AAC424" w14:textId="77777777" w:rsidR="00705773" w:rsidRPr="00EB638E" w:rsidRDefault="008A2313" w:rsidP="009A1CB2">
      <w:pPr>
        <w:pStyle w:val="Pealkiri31"/>
        <w:tabs>
          <w:tab w:val="left" w:pos="284"/>
          <w:tab w:val="left" w:pos="426"/>
          <w:tab w:val="left" w:pos="567"/>
        </w:tabs>
        <w:spacing w:after="0" w:line="240" w:lineRule="auto"/>
        <w:ind w:left="0" w:firstLine="0"/>
        <w:jc w:val="both"/>
        <w:rPr>
          <w:rFonts w:ascii="Times New Roman" w:hAnsi="Times New Roman" w:cs="Times New Roman"/>
          <w:sz w:val="24"/>
          <w:szCs w:val="24"/>
        </w:rPr>
      </w:pPr>
      <w:r w:rsidRPr="00EB638E">
        <w:rPr>
          <w:rFonts w:ascii="Times New Roman" w:hAnsi="Times New Roman" w:cs="Times New Roman"/>
          <w:sz w:val="24"/>
          <w:szCs w:val="24"/>
        </w:rPr>
        <w:t>teostama t</w:t>
      </w:r>
      <w:r w:rsidR="00705773" w:rsidRPr="00EB638E">
        <w:rPr>
          <w:rFonts w:ascii="Times New Roman" w:hAnsi="Times New Roman" w:cs="Times New Roman"/>
          <w:sz w:val="24"/>
          <w:szCs w:val="24"/>
        </w:rPr>
        <w:t xml:space="preserve">ööd, s.h projekti muutmisest </w:t>
      </w:r>
      <w:r w:rsidRPr="00EB638E">
        <w:rPr>
          <w:rFonts w:ascii="Times New Roman" w:hAnsi="Times New Roman" w:cs="Times New Roman"/>
          <w:sz w:val="24"/>
          <w:szCs w:val="24"/>
        </w:rPr>
        <w:t>tulenevad lisatööd, p</w:t>
      </w:r>
      <w:r w:rsidR="00705773" w:rsidRPr="00EB638E">
        <w:rPr>
          <w:rFonts w:ascii="Times New Roman" w:hAnsi="Times New Roman" w:cs="Times New Roman"/>
          <w:sz w:val="24"/>
          <w:szCs w:val="24"/>
        </w:rPr>
        <w:t>akkumises toodud hindadega, tähtaegselt ja k</w:t>
      </w:r>
      <w:r w:rsidRPr="00EB638E">
        <w:rPr>
          <w:rFonts w:ascii="Times New Roman" w:hAnsi="Times New Roman" w:cs="Times New Roman"/>
          <w:sz w:val="24"/>
          <w:szCs w:val="24"/>
        </w:rPr>
        <w:t>valiteetselt ning informeerima t</w:t>
      </w:r>
      <w:r w:rsidR="00705773" w:rsidRPr="00EB638E">
        <w:rPr>
          <w:rFonts w:ascii="Times New Roman" w:hAnsi="Times New Roman" w:cs="Times New Roman"/>
          <w:sz w:val="24"/>
          <w:szCs w:val="24"/>
        </w:rPr>
        <w:t>ellijat tööde või lisatööde hili</w:t>
      </w:r>
      <w:r w:rsidR="00705773" w:rsidRPr="00EB638E">
        <w:rPr>
          <w:rFonts w:ascii="Times New Roman" w:hAnsi="Times New Roman" w:cs="Times New Roman"/>
          <w:sz w:val="24"/>
          <w:szCs w:val="24"/>
        </w:rPr>
        <w:softHyphen/>
        <w:t>ne</w:t>
      </w:r>
      <w:r w:rsidR="00705773" w:rsidRPr="00EB638E">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2" w:name="_Hlk120112615"/>
      <w:r w:rsidR="004E2589">
        <w:rPr>
          <w:rFonts w:ascii="Times New Roman" w:hAnsi="Times New Roman" w:cs="Times New Roman"/>
          <w:sz w:val="24"/>
          <w:szCs w:val="24"/>
        </w:rPr>
        <w:t xml:space="preserve">Transpordiameti </w:t>
      </w:r>
      <w:bookmarkEnd w:id="2"/>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FEEB4D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B50A82" w:rsidRPr="00D30DB0">
        <w:rPr>
          <w:rFonts w:ascii="Times New Roman" w:eastAsia="Times New Roman" w:hAnsi="Times New Roman" w:cs="Times New Roman"/>
          <w:sz w:val="24"/>
          <w:szCs w:val="24"/>
        </w:rPr>
        <w:t xml:space="preserve">Enn Raav tel: 56479639; e-post: </w:t>
      </w:r>
      <w:hyperlink r:id="rId11" w:history="1">
        <w:r w:rsidR="00B50A82" w:rsidRPr="00D30DB0">
          <w:rPr>
            <w:rStyle w:val="Hperlink"/>
            <w:rFonts w:ascii="Times New Roman" w:eastAsia="Times New Roman" w:hAnsi="Times New Roman" w:cs="Times New Roman"/>
            <w:sz w:val="24"/>
            <w:szCs w:val="24"/>
          </w:rPr>
          <w:t>enn.raav@rmk.ee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9A1CB2"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88AE80" w:rsidR="00705773" w:rsidRDefault="00AE592F"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9A1CB2"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9A1CB2"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9A1CB2"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9A1CB2"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9A1CB2"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8C67" w14:textId="77777777" w:rsidR="006D1BD3" w:rsidRDefault="006D1BD3" w:rsidP="00705773">
      <w:pPr>
        <w:spacing w:after="0" w:line="240" w:lineRule="auto"/>
      </w:pPr>
      <w:r>
        <w:separator/>
      </w:r>
    </w:p>
  </w:endnote>
  <w:endnote w:type="continuationSeparator" w:id="0">
    <w:p w14:paraId="6FA2C76D" w14:textId="77777777" w:rsidR="006D1BD3" w:rsidRDefault="006D1BD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ECBE" w14:textId="77777777" w:rsidR="006D1BD3" w:rsidRDefault="006D1BD3" w:rsidP="00705773">
      <w:pPr>
        <w:spacing w:after="0" w:line="240" w:lineRule="auto"/>
      </w:pPr>
      <w:r>
        <w:separator/>
      </w:r>
    </w:p>
  </w:footnote>
  <w:footnote w:type="continuationSeparator" w:id="0">
    <w:p w14:paraId="4A029B2B" w14:textId="77777777" w:rsidR="006D1BD3" w:rsidRDefault="006D1BD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15A53"/>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5274F"/>
    <w:rsid w:val="009548EA"/>
    <w:rsid w:val="00955FB6"/>
    <w:rsid w:val="00956A79"/>
    <w:rsid w:val="00964EF6"/>
    <w:rsid w:val="00971D69"/>
    <w:rsid w:val="00980475"/>
    <w:rsid w:val="0098052B"/>
    <w:rsid w:val="0098600A"/>
    <w:rsid w:val="00987177"/>
    <w:rsid w:val="00993638"/>
    <w:rsid w:val="009A1CB2"/>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E592F"/>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63"/>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E11073"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E11073"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E11073"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E11073"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E11073"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E11073"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E11073"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E11073"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E11073"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E11073"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E11073"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E11073"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8176A"/>
    <w:rsid w:val="00C967F0"/>
    <w:rsid w:val="00CA3281"/>
    <w:rsid w:val="00CD1D06"/>
    <w:rsid w:val="00D23F46"/>
    <w:rsid w:val="00D51F72"/>
    <w:rsid w:val="00D56455"/>
    <w:rsid w:val="00D76BBE"/>
    <w:rsid w:val="00DA13A4"/>
    <w:rsid w:val="00DB0041"/>
    <w:rsid w:val="00DE7E8F"/>
    <w:rsid w:val="00E11073"/>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220</TotalTime>
  <Pages>11</Pages>
  <Words>4691</Words>
  <Characters>26739</Characters>
  <Application>Microsoft Office Word</Application>
  <DocSecurity>0</DocSecurity>
  <Lines>222</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94</cp:revision>
  <dcterms:created xsi:type="dcterms:W3CDTF">2022-09-01T10:45:00Z</dcterms:created>
  <dcterms:modified xsi:type="dcterms:W3CDTF">2023-02-27T11:51:00Z</dcterms:modified>
</cp:coreProperties>
</file>